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to6izaok57j7" w:id="0"/>
      <w:bookmarkEnd w:id="0"/>
      <w:r w:rsidDel="00000000" w:rsidR="00000000" w:rsidRPr="00000000">
        <w:rPr>
          <w:rtl w:val="0"/>
        </w:rPr>
        <w:t xml:space="preserve">Закарпатська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hw8wq7rmommb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650"/>
        <w:gridCol w:w="1770"/>
        <w:gridCol w:w="1560"/>
        <w:gridCol w:w="1560"/>
        <w:gridCol w:w="1560"/>
        <w:tblGridChange w:id="0">
          <w:tblGrid>
            <w:gridCol w:w="1260"/>
            <w:gridCol w:w="1650"/>
            <w:gridCol w:w="177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01.08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42 901,1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5 555,3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14 172,4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6 248,2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4 183,2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3 741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qxpoyytsriti" w:id="2"/>
      <w:bookmarkEnd w:id="2"/>
      <w:r w:rsidDel="00000000" w:rsidR="00000000" w:rsidRPr="00000000">
        <w:rPr>
          <w:rtl w:val="0"/>
        </w:rPr>
        <w:t xml:space="preserve">Розподіл субвенції за статтями витрат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17 160,5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17 160,5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8 580,1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Style w:val="Heading3"/>
        <w:contextualSpacing w:val="0"/>
        <w:rPr/>
      </w:pPr>
      <w:bookmarkStart w:colFirst="0" w:colLast="0" w:name="_v7kru6bvhw8s" w:id="3"/>
      <w:bookmarkEnd w:id="3"/>
      <w:r w:rsidDel="00000000" w:rsidR="00000000" w:rsidRPr="00000000">
        <w:rPr>
          <w:rtl w:val="0"/>
        </w:rPr>
        <w:t xml:space="preserve">Територіальний розподіл субвенції разом з підготовкою тренерів (тис. грн)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Передбачено розписом на рік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Надійшло фінансування станом на 01.08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16 286,7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16 173,7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Ужгород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3 108,7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1 982,7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Берегово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496,4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Мукачево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2 124,6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1 357,2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Хуст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1 018,2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650,4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Чоп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230,7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Берегівський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2 062,3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1 322,2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В.Березнянський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1 210,1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774,5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Виноградівський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4 041,8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2 586,8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Воловецький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1 018,9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651,7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Іршавський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3 336,2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2 134,3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Міжгірський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2 099,8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1 347,1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Мукачівський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3 777,8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2 418,5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Перечинський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894,7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571,6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Рахівський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3 475,6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2 226,7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Свалявський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1 682,5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1 076,5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Тячівський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4 981,6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3 190,6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Ужгородський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2 357,4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1 510,8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Хустський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3 336,7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2 135,6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Вільховецька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317,2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Тячівська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510,2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219,7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Іршавська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307,8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Перечинська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256,8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Баранинська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60 662,9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44 574,9</w:t>
            </w:r>
          </w:p>
        </w:tc>
      </w:tr>
    </w:tbl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