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rPr/>
      </w:pPr>
      <w:bookmarkStart w:colFirst="0" w:colLast="0" w:name="_3gmdpwmfzjii" w:id="0"/>
      <w:bookmarkEnd w:id="0"/>
      <w:r w:rsidDel="00000000" w:rsidR="00000000" w:rsidRPr="00000000">
        <w:rPr>
          <w:rtl w:val="0"/>
        </w:rPr>
        <w:t xml:space="preserve">Волинська область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(не відповіла на запит про публічну інформацію)</w:t>
      </w:r>
    </w:p>
    <w:p w:rsidR="00000000" w:rsidDel="00000000" w:rsidP="00000000" w:rsidRDefault="00000000" w:rsidRPr="00000000" w14:paraId="00000002">
      <w:pPr>
        <w:pStyle w:val="Heading3"/>
        <w:contextualSpacing w:val="0"/>
        <w:rPr/>
      </w:pPr>
      <w:bookmarkStart w:colFirst="0" w:colLast="0" w:name="_b8hze9w6vlu8" w:id="1"/>
      <w:bookmarkEnd w:id="1"/>
      <w:r w:rsidDel="00000000" w:rsidR="00000000" w:rsidRPr="00000000">
        <w:rPr>
          <w:rtl w:val="0"/>
        </w:rPr>
        <w:t xml:space="preserve">Витрати субвенції  (тис. грн)</w:t>
      </w:r>
    </w:p>
    <w:tbl>
      <w:tblPr>
        <w:tblStyle w:val="Table1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410"/>
        <w:gridCol w:w="1560"/>
        <w:gridCol w:w="1620"/>
        <w:gridCol w:w="1605"/>
        <w:gridCol w:w="1935"/>
        <w:tblGridChange w:id="0">
          <w:tblGrid>
            <w:gridCol w:w="1245"/>
            <w:gridCol w:w="1410"/>
            <w:gridCol w:w="1560"/>
            <w:gridCol w:w="1620"/>
            <w:gridCol w:w="1605"/>
            <w:gridCol w:w="19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Виділено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15.07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загалом на 15.08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дидактику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меблі (дані МОН)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Використано на обладнання (дані МОН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37 792,5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2 285,1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12 655,65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1 083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7 576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3 996,65</w:t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