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rPr/>
      </w:pPr>
      <w:bookmarkStart w:colFirst="0" w:colLast="0" w:name="_u9z8w62ezccz" w:id="0"/>
      <w:bookmarkEnd w:id="0"/>
      <w:r w:rsidDel="00000000" w:rsidR="00000000" w:rsidRPr="00000000">
        <w:rPr>
          <w:rtl w:val="0"/>
        </w:rPr>
        <w:t xml:space="preserve">Київ</w:t>
      </w:r>
    </w:p>
    <w:p w:rsidR="00000000" w:rsidDel="00000000" w:rsidP="00000000" w:rsidRDefault="00000000" w:rsidRPr="00000000" w14:paraId="00000001">
      <w:pPr>
        <w:pStyle w:val="Heading3"/>
        <w:contextualSpacing w:val="0"/>
        <w:rPr/>
      </w:pPr>
      <w:bookmarkStart w:colFirst="0" w:colLast="0" w:name="_1hzof594hor5" w:id="1"/>
      <w:bookmarkEnd w:id="1"/>
      <w:r w:rsidDel="00000000" w:rsidR="00000000" w:rsidRPr="00000000">
        <w:rPr>
          <w:rtl w:val="0"/>
        </w:rPr>
        <w:t xml:space="preserve">Витрати субвенції (тис. грн)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1485"/>
        <w:gridCol w:w="1485"/>
        <w:gridCol w:w="1920"/>
        <w:gridCol w:w="1470"/>
        <w:gridCol w:w="1650"/>
        <w:tblGridChange w:id="0">
          <w:tblGrid>
            <w:gridCol w:w="1350"/>
            <w:gridCol w:w="1485"/>
            <w:gridCol w:w="1485"/>
            <w:gridCol w:w="1920"/>
            <w:gridCol w:w="1470"/>
            <w:gridCol w:w="16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15.07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загалом на 15.08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дидактику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меблі 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обладнання (дані МОН)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53 320,1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1 872,8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34 428,9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12 248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15 883,9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6 297</w:t>
            </w:r>
          </w:p>
        </w:tc>
      </w:tr>
    </w:tbl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contextualSpacing w:val="0"/>
        <w:rPr/>
      </w:pPr>
      <w:bookmarkStart w:colFirst="0" w:colLast="0" w:name="_8z6karfzxucb" w:id="2"/>
      <w:bookmarkEnd w:id="2"/>
      <w:r w:rsidDel="00000000" w:rsidR="00000000" w:rsidRPr="00000000">
        <w:rPr>
          <w:rtl w:val="0"/>
        </w:rPr>
        <w:t xml:space="preserve">Використання коштів за районами (тис. грн)</w:t>
      </w:r>
    </w:p>
    <w:tbl>
      <w:tblPr>
        <w:tblStyle w:val="Table2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1485"/>
        <w:gridCol w:w="1395"/>
        <w:gridCol w:w="1530"/>
        <w:gridCol w:w="1665"/>
        <w:gridCol w:w="1035"/>
        <w:tblGridChange w:id="0">
          <w:tblGrid>
            <w:gridCol w:w="2235"/>
            <w:gridCol w:w="1485"/>
            <w:gridCol w:w="1395"/>
            <w:gridCol w:w="1530"/>
            <w:gridCol w:w="1665"/>
            <w:gridCol w:w="10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Отримано субвенції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 співфінансування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Витрачено з субвенції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Витрачено зі співфінансування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Голосіївський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4 277,5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8 723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4 276,3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8 428,6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21.08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Печерський р-н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7 886,6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Солом’янський р-н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23 678,7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Святошинський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6 528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9 322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Оболонський р-н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21 180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НВК “Спеціалізована  школа І ступеня з поглибленим вивчення української мови - гімназія №39 імені гетьмана України Богдана Хмельницького” Деснянського р-ну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407,6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Дніпровський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6 655,3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18 417,2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Шевченківський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4 369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3"/>
        <w:contextualSpacing w:val="0"/>
        <w:rPr/>
      </w:pPr>
      <w:bookmarkStart w:colFirst="0" w:colLast="0" w:name="_7pbjmhhameui" w:id="3"/>
      <w:bookmarkEnd w:id="3"/>
      <w:r w:rsidDel="00000000" w:rsidR="00000000" w:rsidRPr="00000000">
        <w:rPr>
          <w:rtl w:val="0"/>
        </w:rPr>
        <w:t xml:space="preserve">Розподіл субвенції і співфінансування за статтями витрат (тис. грн)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55"/>
        <w:gridCol w:w="1050"/>
        <w:gridCol w:w="1020"/>
        <w:gridCol w:w="1020"/>
        <w:gridCol w:w="975"/>
        <w:gridCol w:w="1035"/>
        <w:gridCol w:w="1005"/>
        <w:tblGridChange w:id="0">
          <w:tblGrid>
            <w:gridCol w:w="3255"/>
            <w:gridCol w:w="1050"/>
            <w:gridCol w:w="1020"/>
            <w:gridCol w:w="1020"/>
            <w:gridCol w:w="975"/>
            <w:gridCol w:w="1035"/>
            <w:gridCol w:w="1005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Дидактика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Меблі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Обладнання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Субвенція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Співфінансування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Субвенція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Співфінансування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Субвенція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Співфінансування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Печерський р-н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1 554,1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3 951,7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2 380,8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Солом’янський р-н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4 028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11 196,3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8 454,4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Святошинський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2535,2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2687,2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8 297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1305,6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1 025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Оболонський р-н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3 109,39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8 072,21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9 988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НВК “Спеціалізована  школа І ступеня з поглибленим вивчення української мови - гімназія №39 імені гетьмана України Богдана Хмельницького” Деснянського р-ну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82,7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189,9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135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Дніпровський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2 686,3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888,4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2 637,9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8 223,2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1 331,1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9 305,6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Шевченківський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1 846,7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1 648,5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873,8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