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esv93nahif9r" w:id="0"/>
      <w:bookmarkEnd w:id="0"/>
      <w:r w:rsidDel="00000000" w:rsidR="00000000" w:rsidRPr="00000000">
        <w:rPr>
          <w:rtl w:val="0"/>
        </w:rPr>
        <w:t xml:space="preserve">Чернігівська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93iksgftajbi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380"/>
        <w:gridCol w:w="1455"/>
        <w:gridCol w:w="1650"/>
        <w:gridCol w:w="1755"/>
        <w:gridCol w:w="1860"/>
        <w:tblGridChange w:id="0">
          <w:tblGrid>
            <w:gridCol w:w="1260"/>
            <w:gridCol w:w="1380"/>
            <w:gridCol w:w="1455"/>
            <w:gridCol w:w="165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08.08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26 164,7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11 691,6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14 192,2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5 592,8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5 760,8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2 838,6</w:t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whjwi9auijm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v757mwhsyr1l" w:id="3"/>
      <w:bookmarkEnd w:id="3"/>
      <w:r w:rsidDel="00000000" w:rsidR="00000000" w:rsidRPr="00000000">
        <w:rPr>
          <w:rtl w:val="0"/>
        </w:rPr>
        <w:t xml:space="preserve">Витрати співфінансування на 08.08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5 007,2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2 854,1</w:t>
            </w:r>
          </w:p>
        </w:tc>
      </w:tr>
    </w:tbl>
    <w:p w:rsidR="00000000" w:rsidDel="00000000" w:rsidP="00000000" w:rsidRDefault="00000000" w:rsidRPr="00000000" w14:paraId="00000014">
      <w:pPr>
        <w:pStyle w:val="Heading3"/>
        <w:contextualSpacing w:val="0"/>
        <w:rPr/>
      </w:pPr>
      <w:bookmarkStart w:colFirst="0" w:colLast="0" w:name="_mpiw6xpwcx3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pvojli24apkz" w:id="5"/>
      <w:bookmarkEnd w:id="5"/>
      <w:r w:rsidDel="00000000" w:rsidR="00000000" w:rsidRPr="00000000">
        <w:rPr>
          <w:rtl w:val="0"/>
        </w:rPr>
        <w:t xml:space="preserve">Територіальний розподіл і використання субвенції станом на 05.08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Розподілено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Бахмацький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486,1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Борзнянський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Варвинський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Ічнянський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Козелецький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Коропський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Корюківський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Ніжинський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Н-Сіверський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Носівський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Прилуцький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Ріпкинський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Семенівський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Сосницький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Срібнянський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Талалаївський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Чернігівський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419,2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Чернігів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7 928,6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3 843,6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Ніжин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2 078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Прилуки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1 707,7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853,8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Новгород-Сіверський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Вертіївська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Деснянська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Кіптівська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Парафіївська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Батуринська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Корюківська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246,9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Носівська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353,6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Остерська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Сновська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Гончарівська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Коропська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Лосинівська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Михайло-Коцюбинська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Іванівська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Мринська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39,9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Козелецька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41,1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Новобасанська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Бобровицька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411,5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Плисківська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Тупичівська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Ічнянська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268,7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Куликівська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176,2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Малодівицька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Семенівська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204,4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Сосницька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Срібнянська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Талалаївська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Холминська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Олишівська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Височанська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Варвинська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Линовицька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26 164,7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12 840,7</w:t>
            </w:r>
          </w:p>
        </w:tc>
      </w:tr>
    </w:tbl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